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4D" w:rsidRDefault="00CB4B4D" w:rsidP="00753AE9">
      <w:pPr>
        <w:jc w:val="center"/>
      </w:pPr>
      <w:r>
        <w:rPr>
          <w:noProof/>
          <w:lang w:bidi="hi-IN"/>
        </w:rPr>
        <w:drawing>
          <wp:inline distT="0" distB="0" distL="0" distR="0">
            <wp:extent cx="6429375" cy="2115471"/>
            <wp:effectExtent l="19050" t="0" r="0" b="0"/>
            <wp:docPr id="1" name="Picture 0"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5"/>
                    <a:stretch>
                      <a:fillRect/>
                    </a:stretch>
                  </pic:blipFill>
                  <pic:spPr>
                    <a:xfrm>
                      <a:off x="0" y="0"/>
                      <a:ext cx="6443002" cy="2119955"/>
                    </a:xfrm>
                    <a:prstGeom prst="rect">
                      <a:avLst/>
                    </a:prstGeom>
                  </pic:spPr>
                </pic:pic>
              </a:graphicData>
            </a:graphic>
          </wp:inline>
        </w:drawing>
      </w:r>
    </w:p>
    <w:p w:rsidR="00CB4B4D" w:rsidRPr="00742F28" w:rsidRDefault="00CB4B4D" w:rsidP="00CB4B4D">
      <w:pPr>
        <w:rPr>
          <w:b/>
          <w:bCs/>
          <w:color w:val="FF0000"/>
          <w:sz w:val="40"/>
          <w:szCs w:val="40"/>
        </w:rPr>
      </w:pPr>
      <w:r w:rsidRPr="00742F28">
        <w:rPr>
          <w:b/>
          <w:bCs/>
          <w:color w:val="FF0000"/>
          <w:sz w:val="40"/>
          <w:szCs w:val="40"/>
        </w:rPr>
        <w:t>Introduction</w:t>
      </w:r>
    </w:p>
    <w:p w:rsidR="00126B16" w:rsidRDefault="00CB4B4D" w:rsidP="00093725">
      <w:pPr>
        <w:jc w:val="both"/>
        <w:rPr>
          <w:sz w:val="28"/>
          <w:szCs w:val="28"/>
        </w:rPr>
      </w:pPr>
      <w:r w:rsidRPr="00CB4B4D">
        <w:rPr>
          <w:sz w:val="28"/>
          <w:szCs w:val="28"/>
        </w:rPr>
        <w:t xml:space="preserve"> The Union Cabinet had approved India</w:t>
      </w:r>
      <w:r w:rsidR="0079096A">
        <w:rPr>
          <w:rFonts w:ascii="Calibri" w:hAnsi="Calibri" w:cs="Calibri"/>
          <w:sz w:val="28"/>
          <w:szCs w:val="28"/>
        </w:rPr>
        <w:t>’</w:t>
      </w:r>
      <w:r w:rsidRPr="00CB4B4D">
        <w:rPr>
          <w:rFonts w:ascii="Calibri" w:hAnsi="Calibri" w:cs="Calibri"/>
          <w:sz w:val="28"/>
          <w:szCs w:val="28"/>
        </w:rPr>
        <w:t xml:space="preserve">s largest Skill Certification Scheme, </w:t>
      </w:r>
      <w:proofErr w:type="spellStart"/>
      <w:r w:rsidRPr="00CB4B4D">
        <w:rPr>
          <w:rFonts w:ascii="Calibri" w:hAnsi="Calibri" w:cs="Calibri"/>
          <w:sz w:val="28"/>
          <w:szCs w:val="28"/>
        </w:rPr>
        <w:t>Pradhan</w:t>
      </w:r>
      <w:proofErr w:type="spellEnd"/>
      <w:r w:rsidRPr="00CB4B4D">
        <w:rPr>
          <w:rFonts w:ascii="Calibri" w:hAnsi="Calibri" w:cs="Calibri"/>
          <w:sz w:val="28"/>
          <w:szCs w:val="28"/>
        </w:rPr>
        <w:t xml:space="preserve"> </w:t>
      </w:r>
      <w:proofErr w:type="spellStart"/>
      <w:r w:rsidRPr="00CB4B4D">
        <w:rPr>
          <w:rFonts w:ascii="Calibri" w:hAnsi="Calibri" w:cs="Calibri"/>
          <w:sz w:val="28"/>
          <w:szCs w:val="28"/>
        </w:rPr>
        <w:t>Mantri</w:t>
      </w:r>
      <w:proofErr w:type="spellEnd"/>
      <w:r w:rsidRPr="00CB4B4D">
        <w:rPr>
          <w:rFonts w:ascii="Calibri" w:hAnsi="Calibri" w:cs="Calibri"/>
          <w:sz w:val="28"/>
          <w:szCs w:val="28"/>
        </w:rPr>
        <w:t xml:space="preserve"> </w:t>
      </w:r>
      <w:proofErr w:type="spellStart"/>
      <w:r w:rsidRPr="00CB4B4D">
        <w:rPr>
          <w:rFonts w:ascii="Calibri" w:hAnsi="Calibri" w:cs="Calibri"/>
          <w:sz w:val="28"/>
          <w:szCs w:val="28"/>
        </w:rPr>
        <w:t>Kaushal</w:t>
      </w:r>
      <w:proofErr w:type="spellEnd"/>
      <w:r w:rsidRPr="00CB4B4D">
        <w:rPr>
          <w:rFonts w:ascii="Calibri" w:hAnsi="Calibri" w:cs="Calibri"/>
          <w:sz w:val="28"/>
          <w:szCs w:val="28"/>
        </w:rPr>
        <w:t xml:space="preserve"> </w:t>
      </w:r>
      <w:proofErr w:type="spellStart"/>
      <w:r w:rsidRPr="00CB4B4D">
        <w:rPr>
          <w:rFonts w:ascii="Calibri" w:hAnsi="Calibri" w:cs="Calibri"/>
          <w:sz w:val="28"/>
          <w:szCs w:val="28"/>
        </w:rPr>
        <w:t>Vikas</w:t>
      </w:r>
      <w:proofErr w:type="spellEnd"/>
      <w:r w:rsidRPr="00CB4B4D">
        <w:rPr>
          <w:sz w:val="28"/>
          <w:szCs w:val="28"/>
        </w:rPr>
        <w:t xml:space="preserve"> </w:t>
      </w:r>
      <w:proofErr w:type="spellStart"/>
      <w:r w:rsidRPr="00CB4B4D">
        <w:rPr>
          <w:sz w:val="28"/>
          <w:szCs w:val="28"/>
        </w:rPr>
        <w:t>Yojana</w:t>
      </w:r>
      <w:proofErr w:type="spellEnd"/>
      <w:r w:rsidRPr="00CB4B4D">
        <w:rPr>
          <w:sz w:val="28"/>
          <w:szCs w:val="28"/>
        </w:rPr>
        <w:t xml:space="preserve"> (PMKVY), on 20 March, 2015. The Scheme was subsequently launched on 15 July, 2015, on the occasion of World Youth Skills Day by Honorable Prime Minister, </w:t>
      </w:r>
      <w:proofErr w:type="spellStart"/>
      <w:r w:rsidRPr="00CB4B4D">
        <w:rPr>
          <w:sz w:val="28"/>
          <w:szCs w:val="28"/>
        </w:rPr>
        <w:t>Shri</w:t>
      </w:r>
      <w:proofErr w:type="spellEnd"/>
      <w:r w:rsidRPr="00CB4B4D">
        <w:rPr>
          <w:sz w:val="28"/>
          <w:szCs w:val="28"/>
        </w:rPr>
        <w:t xml:space="preserve"> </w:t>
      </w:r>
      <w:proofErr w:type="spellStart"/>
      <w:r w:rsidRPr="00CB4B4D">
        <w:rPr>
          <w:sz w:val="28"/>
          <w:szCs w:val="28"/>
        </w:rPr>
        <w:t>Narendra</w:t>
      </w:r>
      <w:proofErr w:type="spellEnd"/>
      <w:r w:rsidRPr="00CB4B4D">
        <w:rPr>
          <w:sz w:val="28"/>
          <w:szCs w:val="28"/>
        </w:rPr>
        <w:t xml:space="preserve"> </w:t>
      </w:r>
      <w:proofErr w:type="spellStart"/>
      <w:r w:rsidRPr="00CB4B4D">
        <w:rPr>
          <w:sz w:val="28"/>
          <w:szCs w:val="28"/>
        </w:rPr>
        <w:t>Modi</w:t>
      </w:r>
      <w:proofErr w:type="spellEnd"/>
      <w:r w:rsidRPr="00CB4B4D">
        <w:rPr>
          <w:sz w:val="28"/>
          <w:szCs w:val="28"/>
        </w:rPr>
        <w:t xml:space="preserve">. PMKVY is implemented by National Skills Development Corporation (NSDC) under the guidance of the Ministry of Skill Development and Entrepreneurship (MSDE). With a vision of a Skilled India, MSDE aims to skill India on a large scale with speed and high standards. PMKVY is the flagship scheme that is driving towards greater </w:t>
      </w:r>
      <w:proofErr w:type="spellStart"/>
      <w:r w:rsidRPr="00CB4B4D">
        <w:rPr>
          <w:sz w:val="28"/>
          <w:szCs w:val="28"/>
        </w:rPr>
        <w:t>realisation</w:t>
      </w:r>
      <w:proofErr w:type="spellEnd"/>
      <w:r w:rsidRPr="00CB4B4D">
        <w:rPr>
          <w:sz w:val="28"/>
          <w:szCs w:val="28"/>
        </w:rPr>
        <w:t xml:space="preserve"> of this vision. Owing to the its successful first year of implementation, the Union Cabinet has approved the Scheme for another four years (2016-2020) to impart skilling to 10 million youth of the country. This booklet contains the various Guidelines under the Scheme that participating agencies need to abide by. The Guidelines mentioned in this booklet have the approval of the PMKVY Steering Committee and are effective from 15 July, 2016. These Gui</w:t>
      </w:r>
      <w:r>
        <w:rPr>
          <w:sz w:val="28"/>
          <w:szCs w:val="28"/>
        </w:rPr>
        <w:t xml:space="preserve">delines include the following: </w:t>
      </w:r>
    </w:p>
    <w:p w:rsidR="00CB4B4D" w:rsidRPr="00742F28" w:rsidRDefault="00CB4B4D" w:rsidP="00CB4B4D">
      <w:pPr>
        <w:rPr>
          <w:b/>
          <w:bCs/>
          <w:color w:val="FF0000"/>
          <w:sz w:val="40"/>
          <w:szCs w:val="40"/>
        </w:rPr>
      </w:pPr>
      <w:r w:rsidRPr="00742F28">
        <w:rPr>
          <w:b/>
          <w:bCs/>
          <w:color w:val="FF0000"/>
          <w:sz w:val="40"/>
          <w:szCs w:val="40"/>
        </w:rPr>
        <w:t>Base Costs</w:t>
      </w:r>
    </w:p>
    <w:p w:rsidR="00CB4B4D" w:rsidRDefault="00CB4B4D" w:rsidP="00CB4B4D">
      <w:r>
        <w:t xml:space="preserve"> </w:t>
      </w:r>
      <w:r w:rsidRPr="0079096A">
        <w:rPr>
          <w:sz w:val="28"/>
          <w:szCs w:val="28"/>
        </w:rPr>
        <w:t xml:space="preserve">The per candidate base costs for different sectors will be either </w:t>
      </w:r>
      <w:r w:rsidRPr="00742F28">
        <w:rPr>
          <w:b/>
          <w:bCs/>
          <w:color w:val="C00000"/>
          <w:sz w:val="28"/>
          <w:szCs w:val="28"/>
        </w:rPr>
        <w:t>INR 28.9, INR 34.7 or INR 40.4 as per the trainings in various job roles/sectors defined</w:t>
      </w:r>
      <w:r w:rsidRPr="0079096A">
        <w:rPr>
          <w:sz w:val="28"/>
          <w:szCs w:val="28"/>
        </w:rPr>
        <w:t xml:space="preserve"> in the three different categories defined in the SOP document Per hour Base Costs for Trades/Sectors. Costs will be updated as per the Common Norms in case of any changes</w:t>
      </w:r>
      <w:r>
        <w:t>.</w:t>
      </w:r>
    </w:p>
    <w:p w:rsidR="0079096A" w:rsidRPr="00742F28" w:rsidRDefault="0079096A" w:rsidP="00742F28">
      <w:pPr>
        <w:jc w:val="center"/>
        <w:rPr>
          <w:b/>
          <w:bCs/>
          <w:color w:val="FF0000"/>
          <w:sz w:val="40"/>
          <w:szCs w:val="40"/>
        </w:rPr>
      </w:pPr>
      <w:r w:rsidRPr="00742F28">
        <w:rPr>
          <w:b/>
          <w:bCs/>
          <w:color w:val="FF0000"/>
          <w:sz w:val="40"/>
          <w:szCs w:val="40"/>
        </w:rPr>
        <w:t>Payout Milestones</w:t>
      </w:r>
    </w:p>
    <w:tbl>
      <w:tblPr>
        <w:tblStyle w:val="TableGrid"/>
        <w:tblW w:w="0" w:type="auto"/>
        <w:tblLook w:val="04A0"/>
      </w:tblPr>
      <w:tblGrid>
        <w:gridCol w:w="1617"/>
        <w:gridCol w:w="1874"/>
        <w:gridCol w:w="7525"/>
      </w:tblGrid>
      <w:tr w:rsidR="00292214" w:rsidTr="00292214">
        <w:trPr>
          <w:trHeight w:val="445"/>
        </w:trPr>
        <w:tc>
          <w:tcPr>
            <w:tcW w:w="1690" w:type="dxa"/>
          </w:tcPr>
          <w:p w:rsidR="0079096A" w:rsidRPr="00E152BA" w:rsidRDefault="0079096A" w:rsidP="002B5ABB">
            <w:pPr>
              <w:jc w:val="center"/>
              <w:rPr>
                <w:b/>
                <w:bCs/>
                <w:color w:val="FF0000"/>
                <w:sz w:val="32"/>
                <w:szCs w:val="32"/>
              </w:rPr>
            </w:pPr>
            <w:r w:rsidRPr="00E152BA">
              <w:rPr>
                <w:b/>
                <w:bCs/>
                <w:color w:val="FF0000"/>
                <w:sz w:val="32"/>
                <w:szCs w:val="32"/>
              </w:rPr>
              <w:t>Tranches</w:t>
            </w:r>
          </w:p>
        </w:tc>
        <w:tc>
          <w:tcPr>
            <w:tcW w:w="2231" w:type="dxa"/>
          </w:tcPr>
          <w:p w:rsidR="0079096A" w:rsidRPr="00E152BA" w:rsidRDefault="0079096A" w:rsidP="00CB4B4D">
            <w:pPr>
              <w:rPr>
                <w:b/>
                <w:bCs/>
                <w:color w:val="FF0000"/>
                <w:sz w:val="32"/>
                <w:szCs w:val="32"/>
              </w:rPr>
            </w:pPr>
            <w:r w:rsidRPr="00E152BA">
              <w:rPr>
                <w:b/>
                <w:bCs/>
                <w:color w:val="FF0000"/>
                <w:sz w:val="32"/>
                <w:szCs w:val="32"/>
              </w:rPr>
              <w:t>% of Total Cost</w:t>
            </w:r>
          </w:p>
        </w:tc>
        <w:tc>
          <w:tcPr>
            <w:tcW w:w="9507" w:type="dxa"/>
          </w:tcPr>
          <w:p w:rsidR="0079096A" w:rsidRPr="00E152BA" w:rsidRDefault="0079096A" w:rsidP="00CB4B4D">
            <w:pPr>
              <w:rPr>
                <w:b/>
                <w:bCs/>
                <w:color w:val="FF0000"/>
                <w:sz w:val="32"/>
                <w:szCs w:val="32"/>
              </w:rPr>
            </w:pPr>
            <w:r w:rsidRPr="00E152BA">
              <w:rPr>
                <w:b/>
                <w:bCs/>
                <w:color w:val="FF0000"/>
                <w:sz w:val="32"/>
                <w:szCs w:val="32"/>
              </w:rPr>
              <w:t>Output Parameters</w:t>
            </w:r>
          </w:p>
        </w:tc>
      </w:tr>
      <w:tr w:rsidR="00292214" w:rsidTr="00292214">
        <w:trPr>
          <w:trHeight w:val="445"/>
        </w:trPr>
        <w:tc>
          <w:tcPr>
            <w:tcW w:w="1690" w:type="dxa"/>
          </w:tcPr>
          <w:p w:rsidR="0079096A" w:rsidRDefault="0079096A" w:rsidP="00CB4B4D">
            <w:pPr>
              <w:rPr>
                <w:sz w:val="28"/>
                <w:szCs w:val="28"/>
              </w:rPr>
            </w:pPr>
            <w:r>
              <w:rPr>
                <w:sz w:val="28"/>
                <w:szCs w:val="28"/>
              </w:rPr>
              <w:t>1</w:t>
            </w:r>
          </w:p>
        </w:tc>
        <w:tc>
          <w:tcPr>
            <w:tcW w:w="2231" w:type="dxa"/>
          </w:tcPr>
          <w:p w:rsidR="0079096A" w:rsidRDefault="0079096A" w:rsidP="002B5ABB">
            <w:pPr>
              <w:rPr>
                <w:sz w:val="28"/>
                <w:szCs w:val="28"/>
              </w:rPr>
            </w:pPr>
            <w:r>
              <w:rPr>
                <w:sz w:val="28"/>
                <w:szCs w:val="28"/>
              </w:rPr>
              <w:t>30%</w:t>
            </w:r>
          </w:p>
        </w:tc>
        <w:tc>
          <w:tcPr>
            <w:tcW w:w="9507" w:type="dxa"/>
          </w:tcPr>
          <w:p w:rsidR="0079096A" w:rsidRPr="00E152BA" w:rsidRDefault="0079096A" w:rsidP="00CB4B4D">
            <w:pPr>
              <w:rPr>
                <w:sz w:val="28"/>
                <w:szCs w:val="28"/>
              </w:rPr>
            </w:pPr>
            <w:r w:rsidRPr="00E152BA">
              <w:rPr>
                <w:sz w:val="28"/>
                <w:szCs w:val="28"/>
              </w:rPr>
              <w:t>On commencement of the training batch against validated candidates</w:t>
            </w:r>
          </w:p>
        </w:tc>
      </w:tr>
      <w:tr w:rsidR="00292214" w:rsidTr="00292214">
        <w:trPr>
          <w:trHeight w:val="445"/>
        </w:trPr>
        <w:tc>
          <w:tcPr>
            <w:tcW w:w="1690" w:type="dxa"/>
          </w:tcPr>
          <w:p w:rsidR="0079096A" w:rsidRDefault="0079096A" w:rsidP="00CB4B4D">
            <w:pPr>
              <w:rPr>
                <w:sz w:val="28"/>
                <w:szCs w:val="28"/>
              </w:rPr>
            </w:pPr>
            <w:r>
              <w:rPr>
                <w:sz w:val="28"/>
                <w:szCs w:val="28"/>
              </w:rPr>
              <w:t>2</w:t>
            </w:r>
          </w:p>
        </w:tc>
        <w:tc>
          <w:tcPr>
            <w:tcW w:w="2231" w:type="dxa"/>
          </w:tcPr>
          <w:p w:rsidR="0079096A" w:rsidRDefault="0079096A" w:rsidP="00CB4B4D">
            <w:pPr>
              <w:rPr>
                <w:sz w:val="28"/>
                <w:szCs w:val="28"/>
              </w:rPr>
            </w:pPr>
            <w:r>
              <w:rPr>
                <w:sz w:val="28"/>
                <w:szCs w:val="28"/>
              </w:rPr>
              <w:t>50%</w:t>
            </w:r>
          </w:p>
        </w:tc>
        <w:tc>
          <w:tcPr>
            <w:tcW w:w="9507" w:type="dxa"/>
          </w:tcPr>
          <w:p w:rsidR="0079096A" w:rsidRPr="00E152BA" w:rsidRDefault="0079096A" w:rsidP="00CB4B4D">
            <w:pPr>
              <w:rPr>
                <w:sz w:val="28"/>
                <w:szCs w:val="28"/>
              </w:rPr>
            </w:pPr>
            <w:r w:rsidRPr="00E152BA">
              <w:rPr>
                <w:sz w:val="28"/>
                <w:szCs w:val="28"/>
              </w:rPr>
              <w:t>On successful certification of the trainees</w:t>
            </w:r>
          </w:p>
        </w:tc>
      </w:tr>
      <w:tr w:rsidR="00292214" w:rsidTr="00292214">
        <w:trPr>
          <w:trHeight w:val="445"/>
        </w:trPr>
        <w:tc>
          <w:tcPr>
            <w:tcW w:w="1690" w:type="dxa"/>
          </w:tcPr>
          <w:p w:rsidR="0079096A" w:rsidRDefault="0079096A" w:rsidP="00CB4B4D">
            <w:pPr>
              <w:rPr>
                <w:sz w:val="28"/>
                <w:szCs w:val="28"/>
              </w:rPr>
            </w:pPr>
            <w:r>
              <w:rPr>
                <w:sz w:val="28"/>
                <w:szCs w:val="28"/>
              </w:rPr>
              <w:t>3</w:t>
            </w:r>
          </w:p>
        </w:tc>
        <w:tc>
          <w:tcPr>
            <w:tcW w:w="2231" w:type="dxa"/>
          </w:tcPr>
          <w:p w:rsidR="0079096A" w:rsidRDefault="0079096A" w:rsidP="00CB4B4D">
            <w:pPr>
              <w:rPr>
                <w:sz w:val="28"/>
                <w:szCs w:val="28"/>
              </w:rPr>
            </w:pPr>
            <w:r>
              <w:rPr>
                <w:sz w:val="28"/>
                <w:szCs w:val="28"/>
              </w:rPr>
              <w:t>20%</w:t>
            </w:r>
          </w:p>
        </w:tc>
        <w:tc>
          <w:tcPr>
            <w:tcW w:w="9507" w:type="dxa"/>
          </w:tcPr>
          <w:p w:rsidR="0079096A" w:rsidRPr="00E152BA" w:rsidRDefault="0079096A" w:rsidP="00CB4B4D">
            <w:pPr>
              <w:rPr>
                <w:sz w:val="28"/>
                <w:szCs w:val="28"/>
              </w:rPr>
            </w:pPr>
            <w:r w:rsidRPr="00E152BA">
              <w:rPr>
                <w:sz w:val="28"/>
                <w:szCs w:val="28"/>
              </w:rPr>
              <w:t>Outcome based on placements</w:t>
            </w:r>
          </w:p>
        </w:tc>
      </w:tr>
    </w:tbl>
    <w:p w:rsidR="0079096A" w:rsidRDefault="0079096A" w:rsidP="00CB4B4D">
      <w:pPr>
        <w:rPr>
          <w:sz w:val="28"/>
          <w:szCs w:val="28"/>
        </w:rPr>
      </w:pPr>
    </w:p>
    <w:p w:rsidR="0079096A" w:rsidRDefault="0079096A" w:rsidP="00E152BA">
      <w:pPr>
        <w:jc w:val="center"/>
        <w:rPr>
          <w:color w:val="FF0000"/>
          <w:sz w:val="40"/>
          <w:szCs w:val="40"/>
        </w:rPr>
      </w:pPr>
      <w:r w:rsidRPr="00742F28">
        <w:rPr>
          <w:color w:val="FF0000"/>
          <w:sz w:val="40"/>
          <w:szCs w:val="40"/>
        </w:rPr>
        <w:t>Boarding and Lodging Payouts</w:t>
      </w:r>
    </w:p>
    <w:tbl>
      <w:tblPr>
        <w:tblStyle w:val="TableGrid"/>
        <w:tblW w:w="0" w:type="auto"/>
        <w:tblLook w:val="04A0"/>
      </w:tblPr>
      <w:tblGrid>
        <w:gridCol w:w="5723"/>
        <w:gridCol w:w="5293"/>
      </w:tblGrid>
      <w:tr w:rsidR="00742F28" w:rsidTr="001203B9">
        <w:trPr>
          <w:trHeight w:val="600"/>
        </w:trPr>
        <w:tc>
          <w:tcPr>
            <w:tcW w:w="6875" w:type="dxa"/>
          </w:tcPr>
          <w:p w:rsidR="00742F28" w:rsidRPr="00E152BA" w:rsidRDefault="00742F28" w:rsidP="00E152BA">
            <w:pPr>
              <w:jc w:val="center"/>
              <w:rPr>
                <w:b/>
                <w:bCs/>
                <w:color w:val="FF0000"/>
                <w:sz w:val="32"/>
                <w:szCs w:val="32"/>
              </w:rPr>
            </w:pPr>
            <w:r w:rsidRPr="00E152BA">
              <w:rPr>
                <w:b/>
                <w:bCs/>
                <w:color w:val="FF0000"/>
                <w:sz w:val="32"/>
                <w:szCs w:val="32"/>
              </w:rPr>
              <w:t>Category of District</w:t>
            </w:r>
          </w:p>
        </w:tc>
        <w:tc>
          <w:tcPr>
            <w:tcW w:w="6358" w:type="dxa"/>
          </w:tcPr>
          <w:p w:rsidR="00742F28" w:rsidRPr="00E152BA" w:rsidRDefault="00742F28" w:rsidP="00CB4B4D">
            <w:pPr>
              <w:rPr>
                <w:b/>
                <w:bCs/>
                <w:color w:val="FF0000"/>
                <w:sz w:val="32"/>
                <w:szCs w:val="32"/>
              </w:rPr>
            </w:pPr>
            <w:r w:rsidRPr="00E152BA">
              <w:rPr>
                <w:b/>
                <w:bCs/>
                <w:color w:val="FF0000"/>
                <w:sz w:val="32"/>
                <w:szCs w:val="32"/>
              </w:rPr>
              <w:t>Amount</w:t>
            </w:r>
          </w:p>
        </w:tc>
      </w:tr>
      <w:tr w:rsidR="00742F28" w:rsidTr="001203B9">
        <w:trPr>
          <w:trHeight w:val="600"/>
        </w:trPr>
        <w:tc>
          <w:tcPr>
            <w:tcW w:w="6875" w:type="dxa"/>
          </w:tcPr>
          <w:p w:rsidR="00742F28" w:rsidRPr="00E152BA" w:rsidRDefault="00742F28" w:rsidP="00CB4B4D">
            <w:pPr>
              <w:rPr>
                <w:color w:val="FF0000"/>
                <w:sz w:val="28"/>
                <w:szCs w:val="28"/>
              </w:rPr>
            </w:pPr>
            <w:r w:rsidRPr="00E152BA">
              <w:rPr>
                <w:sz w:val="28"/>
                <w:szCs w:val="28"/>
              </w:rPr>
              <w:t>X Category Districts per day per trainee</w:t>
            </w:r>
          </w:p>
        </w:tc>
        <w:tc>
          <w:tcPr>
            <w:tcW w:w="6358" w:type="dxa"/>
          </w:tcPr>
          <w:p w:rsidR="00742F28" w:rsidRDefault="00742F28" w:rsidP="00CB4B4D">
            <w:pPr>
              <w:rPr>
                <w:color w:val="FF0000"/>
                <w:sz w:val="40"/>
                <w:szCs w:val="40"/>
              </w:rPr>
            </w:pPr>
            <w:r>
              <w:t>INR 300/-</w:t>
            </w:r>
          </w:p>
        </w:tc>
      </w:tr>
      <w:tr w:rsidR="00742F28" w:rsidTr="001203B9">
        <w:trPr>
          <w:trHeight w:val="600"/>
        </w:trPr>
        <w:tc>
          <w:tcPr>
            <w:tcW w:w="6875" w:type="dxa"/>
          </w:tcPr>
          <w:p w:rsidR="00742F28" w:rsidRPr="00E152BA" w:rsidRDefault="00742F28" w:rsidP="00CB4B4D">
            <w:pPr>
              <w:rPr>
                <w:color w:val="FF0000"/>
                <w:sz w:val="28"/>
                <w:szCs w:val="28"/>
              </w:rPr>
            </w:pPr>
            <w:r w:rsidRPr="00E152BA">
              <w:rPr>
                <w:sz w:val="28"/>
                <w:szCs w:val="28"/>
              </w:rPr>
              <w:t>Y Category Districts per day per trainee</w:t>
            </w:r>
          </w:p>
        </w:tc>
        <w:tc>
          <w:tcPr>
            <w:tcW w:w="6358" w:type="dxa"/>
          </w:tcPr>
          <w:p w:rsidR="00742F28" w:rsidRDefault="00742F28" w:rsidP="00CB4B4D">
            <w:pPr>
              <w:rPr>
                <w:color w:val="FF0000"/>
                <w:sz w:val="40"/>
                <w:szCs w:val="40"/>
              </w:rPr>
            </w:pPr>
            <w:r>
              <w:t>INR 250/-</w:t>
            </w:r>
          </w:p>
        </w:tc>
      </w:tr>
      <w:tr w:rsidR="00742F28" w:rsidTr="001203B9">
        <w:trPr>
          <w:trHeight w:val="600"/>
        </w:trPr>
        <w:tc>
          <w:tcPr>
            <w:tcW w:w="6875" w:type="dxa"/>
          </w:tcPr>
          <w:p w:rsidR="00742F28" w:rsidRPr="00E152BA" w:rsidRDefault="00742F28" w:rsidP="00CB4B4D">
            <w:pPr>
              <w:rPr>
                <w:color w:val="FF0000"/>
                <w:sz w:val="28"/>
                <w:szCs w:val="28"/>
              </w:rPr>
            </w:pPr>
            <w:r w:rsidRPr="00E152BA">
              <w:rPr>
                <w:sz w:val="28"/>
                <w:szCs w:val="28"/>
              </w:rPr>
              <w:t>Z Category Districts per day per trainee INR 200 (every District that is NOT X or Y)</w:t>
            </w:r>
          </w:p>
        </w:tc>
        <w:tc>
          <w:tcPr>
            <w:tcW w:w="6358" w:type="dxa"/>
          </w:tcPr>
          <w:p w:rsidR="00742F28" w:rsidRDefault="00742F28" w:rsidP="00CB4B4D">
            <w:pPr>
              <w:rPr>
                <w:color w:val="FF0000"/>
                <w:sz w:val="40"/>
                <w:szCs w:val="40"/>
              </w:rPr>
            </w:pPr>
            <w:r>
              <w:t>INR 200/-</w:t>
            </w:r>
          </w:p>
        </w:tc>
      </w:tr>
    </w:tbl>
    <w:p w:rsidR="00742F28" w:rsidRDefault="00742F28" w:rsidP="00CB4B4D">
      <w:r>
        <w:t>#</w:t>
      </w:r>
      <w:proofErr w:type="gramStart"/>
      <w:r>
        <w:t>The</w:t>
      </w:r>
      <w:proofErr w:type="gramEnd"/>
      <w:r>
        <w:t xml:space="preserve"> districts falling under X and Y categories are subject defined by </w:t>
      </w:r>
      <w:proofErr w:type="spellStart"/>
      <w:r>
        <w:t>DoPT</w:t>
      </w:r>
      <w:proofErr w:type="spellEnd"/>
      <w:r>
        <w:t>, Government of India.</w:t>
      </w:r>
    </w:p>
    <w:p w:rsidR="00E152BA" w:rsidRPr="00E152BA" w:rsidRDefault="00E152BA" w:rsidP="00E152BA">
      <w:pPr>
        <w:jc w:val="center"/>
        <w:rPr>
          <w:color w:val="FF0000"/>
          <w:sz w:val="40"/>
          <w:szCs w:val="40"/>
        </w:rPr>
      </w:pPr>
      <w:r w:rsidRPr="00E152BA">
        <w:rPr>
          <w:color w:val="FF0000"/>
          <w:sz w:val="40"/>
          <w:szCs w:val="40"/>
        </w:rPr>
        <w:t>Post Placement Support</w:t>
      </w:r>
    </w:p>
    <w:p w:rsidR="00E152BA" w:rsidRDefault="00E152BA" w:rsidP="00E152BA">
      <w:pPr>
        <w:rPr>
          <w:sz w:val="28"/>
          <w:szCs w:val="28"/>
        </w:rPr>
      </w:pPr>
      <w:r w:rsidRPr="00E152BA">
        <w:rPr>
          <w:sz w:val="28"/>
          <w:szCs w:val="28"/>
        </w:rPr>
        <w:t xml:space="preserve"> In order to enable the newly skilled persons to settle into their new jobs/vocations, post placement support would be provided directly to the candidates at the rate of INR 1450 per month for the duration </w:t>
      </w:r>
    </w:p>
    <w:tbl>
      <w:tblPr>
        <w:tblStyle w:val="TableGrid"/>
        <w:tblW w:w="10679" w:type="dxa"/>
        <w:tblLook w:val="04A0"/>
      </w:tblPr>
      <w:tblGrid>
        <w:gridCol w:w="6022"/>
        <w:gridCol w:w="2101"/>
        <w:gridCol w:w="2556"/>
      </w:tblGrid>
      <w:tr w:rsidR="00E152BA" w:rsidTr="001F75A1">
        <w:trPr>
          <w:trHeight w:val="528"/>
        </w:trPr>
        <w:tc>
          <w:tcPr>
            <w:tcW w:w="6022" w:type="dxa"/>
          </w:tcPr>
          <w:p w:rsidR="00E152BA" w:rsidRPr="00897D2A" w:rsidRDefault="00E152BA" w:rsidP="001F75A1">
            <w:pPr>
              <w:ind w:firstLine="720"/>
              <w:jc w:val="center"/>
              <w:rPr>
                <w:b/>
                <w:bCs/>
                <w:color w:val="FF0000"/>
                <w:sz w:val="28"/>
                <w:szCs w:val="28"/>
              </w:rPr>
            </w:pPr>
            <w:r w:rsidRPr="00897D2A">
              <w:rPr>
                <w:b/>
                <w:bCs/>
                <w:color w:val="FF0000"/>
                <w:sz w:val="28"/>
                <w:szCs w:val="28"/>
              </w:rPr>
              <w:t>Post Placement Support @ INR 1450 per month</w:t>
            </w:r>
          </w:p>
        </w:tc>
        <w:tc>
          <w:tcPr>
            <w:tcW w:w="2101" w:type="dxa"/>
          </w:tcPr>
          <w:p w:rsidR="00E152BA" w:rsidRPr="00897D2A" w:rsidRDefault="00897D2A" w:rsidP="00897D2A">
            <w:pPr>
              <w:jc w:val="center"/>
              <w:rPr>
                <w:b/>
                <w:bCs/>
                <w:color w:val="FF0000"/>
                <w:sz w:val="40"/>
                <w:szCs w:val="40"/>
              </w:rPr>
            </w:pPr>
            <w:r w:rsidRPr="00897D2A">
              <w:rPr>
                <w:b/>
                <w:bCs/>
                <w:color w:val="FF0000"/>
                <w:sz w:val="40"/>
                <w:szCs w:val="40"/>
              </w:rPr>
              <w:t>Men</w:t>
            </w:r>
          </w:p>
        </w:tc>
        <w:tc>
          <w:tcPr>
            <w:tcW w:w="2556" w:type="dxa"/>
          </w:tcPr>
          <w:p w:rsidR="00E152BA" w:rsidRPr="00897D2A" w:rsidRDefault="00897D2A" w:rsidP="00897D2A">
            <w:pPr>
              <w:jc w:val="center"/>
              <w:rPr>
                <w:b/>
                <w:bCs/>
                <w:color w:val="FF0000"/>
                <w:sz w:val="44"/>
                <w:szCs w:val="44"/>
              </w:rPr>
            </w:pPr>
            <w:r w:rsidRPr="00897D2A">
              <w:rPr>
                <w:b/>
                <w:bCs/>
                <w:color w:val="FF0000"/>
                <w:sz w:val="44"/>
                <w:szCs w:val="44"/>
              </w:rPr>
              <w:t>Women</w:t>
            </w:r>
          </w:p>
        </w:tc>
      </w:tr>
      <w:tr w:rsidR="00E152BA" w:rsidTr="001F75A1">
        <w:trPr>
          <w:trHeight w:val="528"/>
        </w:trPr>
        <w:tc>
          <w:tcPr>
            <w:tcW w:w="6022" w:type="dxa"/>
          </w:tcPr>
          <w:p w:rsidR="00E152BA" w:rsidRPr="00897D2A" w:rsidRDefault="00897D2A" w:rsidP="00E152BA">
            <w:pPr>
              <w:rPr>
                <w:sz w:val="28"/>
                <w:szCs w:val="28"/>
              </w:rPr>
            </w:pPr>
            <w:r w:rsidRPr="00897D2A">
              <w:rPr>
                <w:sz w:val="28"/>
                <w:szCs w:val="28"/>
              </w:rPr>
              <w:t>Placement within the District of Domicile</w:t>
            </w:r>
          </w:p>
        </w:tc>
        <w:tc>
          <w:tcPr>
            <w:tcW w:w="2101" w:type="dxa"/>
          </w:tcPr>
          <w:p w:rsidR="00E152BA" w:rsidRPr="00897D2A" w:rsidRDefault="00897D2A" w:rsidP="00897D2A">
            <w:pPr>
              <w:jc w:val="center"/>
              <w:rPr>
                <w:sz w:val="28"/>
                <w:szCs w:val="28"/>
              </w:rPr>
            </w:pPr>
            <w:r w:rsidRPr="00897D2A">
              <w:rPr>
                <w:sz w:val="28"/>
                <w:szCs w:val="28"/>
              </w:rPr>
              <w:t>1 months</w:t>
            </w:r>
          </w:p>
        </w:tc>
        <w:tc>
          <w:tcPr>
            <w:tcW w:w="2556" w:type="dxa"/>
          </w:tcPr>
          <w:p w:rsidR="00E152BA" w:rsidRPr="00897D2A" w:rsidRDefault="00897D2A" w:rsidP="00897D2A">
            <w:pPr>
              <w:jc w:val="center"/>
              <w:rPr>
                <w:sz w:val="28"/>
                <w:szCs w:val="28"/>
              </w:rPr>
            </w:pPr>
            <w:r w:rsidRPr="00897D2A">
              <w:rPr>
                <w:sz w:val="28"/>
                <w:szCs w:val="28"/>
              </w:rPr>
              <w:t>2 months</w:t>
            </w:r>
          </w:p>
        </w:tc>
      </w:tr>
      <w:tr w:rsidR="00E152BA" w:rsidTr="001F75A1">
        <w:trPr>
          <w:trHeight w:val="528"/>
        </w:trPr>
        <w:tc>
          <w:tcPr>
            <w:tcW w:w="6022" w:type="dxa"/>
          </w:tcPr>
          <w:p w:rsidR="00E152BA" w:rsidRPr="00897D2A" w:rsidRDefault="00897D2A" w:rsidP="00E152BA">
            <w:pPr>
              <w:rPr>
                <w:sz w:val="28"/>
                <w:szCs w:val="28"/>
              </w:rPr>
            </w:pPr>
            <w:r w:rsidRPr="00897D2A">
              <w:rPr>
                <w:sz w:val="28"/>
                <w:szCs w:val="28"/>
              </w:rPr>
              <w:t>Placement outside the District of Domicile</w:t>
            </w:r>
          </w:p>
        </w:tc>
        <w:tc>
          <w:tcPr>
            <w:tcW w:w="2101" w:type="dxa"/>
          </w:tcPr>
          <w:p w:rsidR="00E152BA" w:rsidRPr="00897D2A" w:rsidRDefault="00897D2A" w:rsidP="00897D2A">
            <w:pPr>
              <w:jc w:val="center"/>
              <w:rPr>
                <w:sz w:val="28"/>
                <w:szCs w:val="28"/>
              </w:rPr>
            </w:pPr>
            <w:r w:rsidRPr="00897D2A">
              <w:rPr>
                <w:sz w:val="28"/>
                <w:szCs w:val="28"/>
              </w:rPr>
              <w:t>2 months</w:t>
            </w:r>
          </w:p>
        </w:tc>
        <w:tc>
          <w:tcPr>
            <w:tcW w:w="2556" w:type="dxa"/>
          </w:tcPr>
          <w:p w:rsidR="00E152BA" w:rsidRPr="00897D2A" w:rsidRDefault="00897D2A" w:rsidP="00897D2A">
            <w:pPr>
              <w:jc w:val="center"/>
              <w:rPr>
                <w:sz w:val="28"/>
                <w:szCs w:val="28"/>
              </w:rPr>
            </w:pPr>
            <w:r w:rsidRPr="00897D2A">
              <w:rPr>
                <w:sz w:val="28"/>
                <w:szCs w:val="28"/>
              </w:rPr>
              <w:t>3 months</w:t>
            </w:r>
          </w:p>
        </w:tc>
      </w:tr>
    </w:tbl>
    <w:p w:rsidR="00E152BA" w:rsidRPr="00897D2A" w:rsidRDefault="00E152BA" w:rsidP="00897D2A">
      <w:pPr>
        <w:jc w:val="center"/>
        <w:rPr>
          <w:b/>
          <w:bCs/>
          <w:color w:val="FF0000"/>
          <w:sz w:val="40"/>
          <w:szCs w:val="40"/>
        </w:rPr>
      </w:pPr>
    </w:p>
    <w:p w:rsidR="00742F28" w:rsidRDefault="00897D2A" w:rsidP="00897D2A">
      <w:pPr>
        <w:jc w:val="center"/>
        <w:rPr>
          <w:b/>
          <w:bCs/>
          <w:color w:val="FF0000"/>
          <w:sz w:val="40"/>
          <w:szCs w:val="40"/>
        </w:rPr>
      </w:pPr>
      <w:r w:rsidRPr="00897D2A">
        <w:rPr>
          <w:b/>
          <w:bCs/>
          <w:color w:val="FF0000"/>
          <w:sz w:val="40"/>
          <w:szCs w:val="40"/>
        </w:rPr>
        <w:t>Conveyance Support</w:t>
      </w:r>
    </w:p>
    <w:p w:rsidR="00897D2A" w:rsidRPr="00897D2A" w:rsidRDefault="00897D2A" w:rsidP="00897D2A">
      <w:pPr>
        <w:rPr>
          <w:b/>
          <w:bCs/>
          <w:color w:val="FF0000"/>
          <w:sz w:val="28"/>
          <w:szCs w:val="28"/>
        </w:rPr>
      </w:pPr>
      <w:r w:rsidRPr="00897D2A">
        <w:rPr>
          <w:sz w:val="28"/>
          <w:szCs w:val="28"/>
        </w:rPr>
        <w:t xml:space="preserve">Upon successful completion and certification of non-residential skill training </w:t>
      </w:r>
      <w:proofErr w:type="spellStart"/>
      <w:r w:rsidRPr="00897D2A">
        <w:rPr>
          <w:sz w:val="28"/>
          <w:szCs w:val="28"/>
        </w:rPr>
        <w:t>programmes</w:t>
      </w:r>
      <w:proofErr w:type="spellEnd"/>
      <w:r w:rsidRPr="00897D2A">
        <w:rPr>
          <w:sz w:val="28"/>
          <w:szCs w:val="28"/>
        </w:rPr>
        <w:t>, all women candidates and PWD will be provided an allowance for expenses incurred in travelling to and from the TC</w:t>
      </w:r>
    </w:p>
    <w:tbl>
      <w:tblPr>
        <w:tblStyle w:val="TableGrid"/>
        <w:tblW w:w="0" w:type="auto"/>
        <w:tblLook w:val="04A0"/>
      </w:tblPr>
      <w:tblGrid>
        <w:gridCol w:w="9139"/>
        <w:gridCol w:w="1877"/>
      </w:tblGrid>
      <w:tr w:rsidR="00897D2A" w:rsidTr="001203B9">
        <w:trPr>
          <w:trHeight w:val="515"/>
        </w:trPr>
        <w:tc>
          <w:tcPr>
            <w:tcW w:w="10189" w:type="dxa"/>
          </w:tcPr>
          <w:p w:rsidR="00897D2A" w:rsidRPr="005B1B3F" w:rsidRDefault="005B1B3F" w:rsidP="005B1B3F">
            <w:pPr>
              <w:jc w:val="center"/>
              <w:rPr>
                <w:b/>
                <w:bCs/>
                <w:color w:val="FF0000"/>
                <w:sz w:val="28"/>
                <w:szCs w:val="28"/>
              </w:rPr>
            </w:pPr>
            <w:r w:rsidRPr="005B1B3F">
              <w:rPr>
                <w:b/>
                <w:bCs/>
                <w:color w:val="FF0000"/>
                <w:sz w:val="28"/>
                <w:szCs w:val="28"/>
              </w:rPr>
              <w:t>Conveyance Support per month</w:t>
            </w:r>
          </w:p>
        </w:tc>
        <w:tc>
          <w:tcPr>
            <w:tcW w:w="1977" w:type="dxa"/>
          </w:tcPr>
          <w:p w:rsidR="00897D2A" w:rsidRPr="005B1B3F" w:rsidRDefault="005B1B3F" w:rsidP="00CB4B4D">
            <w:pPr>
              <w:rPr>
                <w:b/>
                <w:bCs/>
                <w:color w:val="FF0000"/>
                <w:sz w:val="28"/>
                <w:szCs w:val="28"/>
              </w:rPr>
            </w:pPr>
            <w:r w:rsidRPr="005B1B3F">
              <w:rPr>
                <w:b/>
                <w:bCs/>
                <w:color w:val="FF0000"/>
                <w:sz w:val="28"/>
                <w:szCs w:val="28"/>
              </w:rPr>
              <w:t>Amount (in INR)</w:t>
            </w:r>
          </w:p>
        </w:tc>
      </w:tr>
      <w:tr w:rsidR="00897D2A" w:rsidTr="001203B9">
        <w:trPr>
          <w:trHeight w:val="515"/>
        </w:trPr>
        <w:tc>
          <w:tcPr>
            <w:tcW w:w="10189" w:type="dxa"/>
          </w:tcPr>
          <w:p w:rsidR="00897D2A" w:rsidRPr="005B1B3F" w:rsidRDefault="005B1B3F" w:rsidP="00CB4B4D">
            <w:pPr>
              <w:rPr>
                <w:sz w:val="28"/>
                <w:szCs w:val="28"/>
              </w:rPr>
            </w:pPr>
            <w:r w:rsidRPr="005B1B3F">
              <w:rPr>
                <w:sz w:val="28"/>
                <w:szCs w:val="28"/>
              </w:rPr>
              <w:t>1. Training Centre within the District of Domicile</w:t>
            </w:r>
          </w:p>
        </w:tc>
        <w:tc>
          <w:tcPr>
            <w:tcW w:w="1977" w:type="dxa"/>
          </w:tcPr>
          <w:p w:rsidR="00897D2A" w:rsidRPr="005B1B3F" w:rsidRDefault="005B1B3F" w:rsidP="00CB4B4D">
            <w:pPr>
              <w:rPr>
                <w:sz w:val="28"/>
                <w:szCs w:val="28"/>
              </w:rPr>
            </w:pPr>
            <w:r w:rsidRPr="005B1B3F">
              <w:rPr>
                <w:sz w:val="28"/>
                <w:szCs w:val="28"/>
              </w:rPr>
              <w:t>1000</w:t>
            </w:r>
            <w:r>
              <w:rPr>
                <w:sz w:val="28"/>
                <w:szCs w:val="28"/>
              </w:rPr>
              <w:t>/-</w:t>
            </w:r>
          </w:p>
        </w:tc>
      </w:tr>
      <w:tr w:rsidR="00897D2A" w:rsidTr="001203B9">
        <w:trPr>
          <w:trHeight w:val="515"/>
        </w:trPr>
        <w:tc>
          <w:tcPr>
            <w:tcW w:w="10189" w:type="dxa"/>
          </w:tcPr>
          <w:p w:rsidR="00897D2A" w:rsidRPr="005B1B3F" w:rsidRDefault="005B1B3F" w:rsidP="00CB4B4D">
            <w:pPr>
              <w:rPr>
                <w:sz w:val="28"/>
                <w:szCs w:val="28"/>
              </w:rPr>
            </w:pPr>
            <w:r w:rsidRPr="005B1B3F">
              <w:rPr>
                <w:sz w:val="28"/>
                <w:szCs w:val="28"/>
              </w:rPr>
              <w:t>2. Training Centre outside the District of Domicile</w:t>
            </w:r>
          </w:p>
        </w:tc>
        <w:tc>
          <w:tcPr>
            <w:tcW w:w="1977" w:type="dxa"/>
          </w:tcPr>
          <w:p w:rsidR="00897D2A" w:rsidRPr="005B1B3F" w:rsidRDefault="005B1B3F" w:rsidP="00CB4B4D">
            <w:pPr>
              <w:rPr>
                <w:sz w:val="28"/>
                <w:szCs w:val="28"/>
              </w:rPr>
            </w:pPr>
            <w:r w:rsidRPr="005B1B3F">
              <w:rPr>
                <w:sz w:val="28"/>
                <w:szCs w:val="28"/>
              </w:rPr>
              <w:t>1500</w:t>
            </w:r>
            <w:r>
              <w:rPr>
                <w:sz w:val="28"/>
                <w:szCs w:val="28"/>
              </w:rPr>
              <w:t>/-</w:t>
            </w:r>
          </w:p>
        </w:tc>
      </w:tr>
    </w:tbl>
    <w:p w:rsidR="0079096A" w:rsidRDefault="0079096A" w:rsidP="00CB4B4D">
      <w:pPr>
        <w:rPr>
          <w:sz w:val="28"/>
          <w:szCs w:val="28"/>
        </w:rPr>
      </w:pPr>
    </w:p>
    <w:p w:rsidR="005B1B3F" w:rsidRDefault="005B1B3F" w:rsidP="00CB4B4D">
      <w:pPr>
        <w:rPr>
          <w:b/>
          <w:bCs/>
          <w:color w:val="FF0000"/>
          <w:sz w:val="32"/>
          <w:szCs w:val="32"/>
        </w:rPr>
      </w:pPr>
      <w:r w:rsidRPr="005B1B3F">
        <w:rPr>
          <w:b/>
          <w:bCs/>
          <w:color w:val="FF0000"/>
          <w:sz w:val="32"/>
          <w:szCs w:val="32"/>
        </w:rPr>
        <w:t>Target Allocation Methodology</w:t>
      </w:r>
    </w:p>
    <w:p w:rsidR="005B1B3F" w:rsidRDefault="005B1B3F" w:rsidP="00CB4B4D">
      <w:pPr>
        <w:rPr>
          <w:sz w:val="28"/>
          <w:szCs w:val="28"/>
        </w:rPr>
      </w:pPr>
      <w:r w:rsidRPr="005B1B3F">
        <w:rPr>
          <w:sz w:val="28"/>
          <w:szCs w:val="28"/>
        </w:rPr>
        <w:t xml:space="preserve">The targets may be allocated to the TC for a period of 6 or 12 months on the basis of the grading of </w:t>
      </w:r>
      <w:proofErr w:type="spellStart"/>
      <w:r w:rsidRPr="005B1B3F">
        <w:rPr>
          <w:sz w:val="28"/>
          <w:szCs w:val="28"/>
        </w:rPr>
        <w:t>centres</w:t>
      </w:r>
      <w:proofErr w:type="spellEnd"/>
      <w:r w:rsidRPr="005B1B3F">
        <w:rPr>
          <w:sz w:val="28"/>
          <w:szCs w:val="28"/>
        </w:rPr>
        <w:t xml:space="preserve">; the capacity of </w:t>
      </w:r>
      <w:proofErr w:type="spellStart"/>
      <w:r w:rsidRPr="005B1B3F">
        <w:rPr>
          <w:sz w:val="28"/>
          <w:szCs w:val="28"/>
        </w:rPr>
        <w:t>centres</w:t>
      </w:r>
      <w:proofErr w:type="spellEnd"/>
      <w:r w:rsidRPr="005B1B3F">
        <w:rPr>
          <w:sz w:val="28"/>
          <w:szCs w:val="28"/>
        </w:rPr>
        <w:t xml:space="preserve"> with a provision for periodic review (Compliance and Performance) as per the Monitoring Guidelines of PMKVY. NSDC proposes the below methodology for allocating the targets to various TCs/TPs approved (or yet to be approved) under PMKVY 2016-20:</w:t>
      </w:r>
    </w:p>
    <w:p w:rsidR="005B1B3F" w:rsidRPr="00AC0530" w:rsidRDefault="005B1B3F" w:rsidP="00AC0530">
      <w:pPr>
        <w:pStyle w:val="ListParagraph"/>
        <w:numPr>
          <w:ilvl w:val="0"/>
          <w:numId w:val="1"/>
        </w:numPr>
        <w:rPr>
          <w:b/>
          <w:bCs/>
          <w:color w:val="FF0000"/>
          <w:sz w:val="28"/>
          <w:szCs w:val="28"/>
        </w:rPr>
      </w:pPr>
      <w:r w:rsidRPr="00AC0530">
        <w:rPr>
          <w:sz w:val="28"/>
          <w:szCs w:val="28"/>
        </w:rPr>
        <w:t>Targets would be allocated for three months with monthly compliance review and quarterly performance review.</w:t>
      </w:r>
    </w:p>
    <w:p w:rsidR="00AC0530" w:rsidRPr="00AC0530" w:rsidRDefault="00AC0530" w:rsidP="00AC0530">
      <w:pPr>
        <w:pStyle w:val="ListParagraph"/>
        <w:numPr>
          <w:ilvl w:val="0"/>
          <w:numId w:val="1"/>
        </w:numPr>
        <w:rPr>
          <w:b/>
          <w:bCs/>
          <w:color w:val="FF0000"/>
          <w:sz w:val="28"/>
          <w:szCs w:val="28"/>
        </w:rPr>
      </w:pPr>
      <w:r w:rsidRPr="00AC0530">
        <w:rPr>
          <w:sz w:val="28"/>
          <w:szCs w:val="28"/>
        </w:rPr>
        <w:t>Usable area greater than 3000 sq. ft. is preferable however not a mandatory condition</w:t>
      </w:r>
      <w:r>
        <w:t>.</w:t>
      </w:r>
    </w:p>
    <w:p w:rsidR="00AC0530" w:rsidRPr="00AC0530" w:rsidRDefault="00AC0530" w:rsidP="00AC0530">
      <w:pPr>
        <w:pStyle w:val="ListParagraph"/>
        <w:numPr>
          <w:ilvl w:val="0"/>
          <w:numId w:val="1"/>
        </w:numPr>
        <w:rPr>
          <w:b/>
          <w:bCs/>
          <w:color w:val="FF0000"/>
          <w:sz w:val="28"/>
          <w:szCs w:val="28"/>
        </w:rPr>
      </w:pPr>
      <w:r w:rsidRPr="00AC0530">
        <w:rPr>
          <w:sz w:val="28"/>
          <w:szCs w:val="28"/>
        </w:rPr>
        <w:t>TCs will be assessed and verified as per the Monitoring Guidelines of PMKVY</w:t>
      </w:r>
    </w:p>
    <w:p w:rsidR="00AC0530" w:rsidRPr="00AC0530" w:rsidRDefault="00AC0530" w:rsidP="00AC0530">
      <w:pPr>
        <w:pStyle w:val="ListParagraph"/>
        <w:numPr>
          <w:ilvl w:val="0"/>
          <w:numId w:val="1"/>
        </w:numPr>
        <w:rPr>
          <w:b/>
          <w:bCs/>
          <w:color w:val="FF0000"/>
          <w:sz w:val="28"/>
          <w:szCs w:val="28"/>
        </w:rPr>
      </w:pPr>
      <w:r w:rsidRPr="00AC0530">
        <w:rPr>
          <w:sz w:val="28"/>
          <w:szCs w:val="28"/>
        </w:rPr>
        <w:t>Targets to be estimated by NSDC PMU basis centre capacity and to be allocated directly to the centers through SDMS.</w:t>
      </w:r>
    </w:p>
    <w:p w:rsidR="00AC0530" w:rsidRPr="00AC0530" w:rsidRDefault="00AC0530" w:rsidP="00AC0530">
      <w:pPr>
        <w:pStyle w:val="ListParagraph"/>
        <w:numPr>
          <w:ilvl w:val="0"/>
          <w:numId w:val="1"/>
        </w:numPr>
        <w:rPr>
          <w:b/>
          <w:bCs/>
          <w:color w:val="FF0000"/>
          <w:sz w:val="28"/>
          <w:szCs w:val="28"/>
        </w:rPr>
      </w:pPr>
      <w:r w:rsidRPr="00AC0530">
        <w:rPr>
          <w:sz w:val="28"/>
          <w:szCs w:val="28"/>
        </w:rPr>
        <w:t>Centre capacity would depend upon number of PMKVY classrooms; number of Job roles/SSCs affiliated to; number of course hours in a job role (approximately 200 hours), and number of certified trainers</w:t>
      </w:r>
    </w:p>
    <w:p w:rsidR="00AC0530" w:rsidRPr="00AC0530" w:rsidRDefault="00AC0530" w:rsidP="00AC0530">
      <w:pPr>
        <w:pStyle w:val="ListParagraph"/>
        <w:numPr>
          <w:ilvl w:val="0"/>
          <w:numId w:val="1"/>
        </w:numPr>
        <w:rPr>
          <w:b/>
          <w:bCs/>
          <w:color w:val="FF0000"/>
          <w:sz w:val="28"/>
          <w:szCs w:val="28"/>
        </w:rPr>
      </w:pPr>
      <w:r w:rsidRPr="00AC0530">
        <w:rPr>
          <w:sz w:val="28"/>
          <w:szCs w:val="28"/>
        </w:rPr>
        <w:t xml:space="preserve">Target allocation methodology is based upon the following assumptions: </w:t>
      </w:r>
      <w:r w:rsidRPr="00AC0530">
        <w:rPr>
          <w:rFonts w:ascii="Calibri" w:hAnsi="Calibri" w:cs="Calibri"/>
          <w:sz w:val="28"/>
          <w:szCs w:val="28"/>
        </w:rPr>
        <w:t></w:t>
      </w:r>
    </w:p>
    <w:p w:rsidR="00AC0530" w:rsidRPr="00AC0530" w:rsidRDefault="00AC0530" w:rsidP="00AC0530">
      <w:pPr>
        <w:pStyle w:val="ListParagraph"/>
        <w:numPr>
          <w:ilvl w:val="0"/>
          <w:numId w:val="1"/>
        </w:numPr>
        <w:rPr>
          <w:b/>
          <w:bCs/>
          <w:color w:val="FF0000"/>
          <w:sz w:val="28"/>
          <w:szCs w:val="28"/>
        </w:rPr>
      </w:pPr>
      <w:r w:rsidRPr="00AC0530">
        <w:rPr>
          <w:sz w:val="28"/>
          <w:szCs w:val="28"/>
        </w:rPr>
        <w:t xml:space="preserve"> Number of Operating hours in a day: 8 hours </w:t>
      </w:r>
      <w:r w:rsidRPr="00AC0530">
        <w:rPr>
          <w:rFonts w:ascii="Calibri" w:hAnsi="Calibri" w:cs="Calibri"/>
          <w:sz w:val="28"/>
          <w:szCs w:val="28"/>
        </w:rPr>
        <w:t></w:t>
      </w:r>
    </w:p>
    <w:p w:rsidR="00AC0530" w:rsidRPr="00AC0530" w:rsidRDefault="00AC0530" w:rsidP="00AC0530">
      <w:pPr>
        <w:pStyle w:val="ListParagraph"/>
        <w:numPr>
          <w:ilvl w:val="0"/>
          <w:numId w:val="1"/>
        </w:numPr>
        <w:rPr>
          <w:b/>
          <w:bCs/>
          <w:color w:val="FF0000"/>
          <w:sz w:val="28"/>
          <w:szCs w:val="28"/>
        </w:rPr>
      </w:pPr>
      <w:r w:rsidRPr="00AC0530">
        <w:rPr>
          <w:sz w:val="28"/>
          <w:szCs w:val="28"/>
        </w:rPr>
        <w:t xml:space="preserve"> Batch operational hours in a day: 4 hours (2 hours each for theory and practical) </w:t>
      </w:r>
      <w:r w:rsidRPr="00AC0530">
        <w:rPr>
          <w:rFonts w:ascii="Calibri" w:hAnsi="Calibri" w:cs="Calibri"/>
          <w:sz w:val="28"/>
          <w:szCs w:val="28"/>
        </w:rPr>
        <w:t></w:t>
      </w:r>
    </w:p>
    <w:p w:rsidR="00AC0530" w:rsidRPr="00AC0530" w:rsidRDefault="00AC0530" w:rsidP="00AC0530">
      <w:pPr>
        <w:pStyle w:val="ListParagraph"/>
        <w:numPr>
          <w:ilvl w:val="0"/>
          <w:numId w:val="1"/>
        </w:numPr>
        <w:rPr>
          <w:b/>
          <w:bCs/>
          <w:color w:val="FF0000"/>
          <w:sz w:val="28"/>
          <w:szCs w:val="28"/>
        </w:rPr>
      </w:pPr>
      <w:r w:rsidRPr="00AC0530">
        <w:rPr>
          <w:sz w:val="28"/>
          <w:szCs w:val="28"/>
        </w:rPr>
        <w:t xml:space="preserve"> Job role-wise number of classrooms and labs, whichever is less </w:t>
      </w:r>
      <w:r w:rsidRPr="00AC0530">
        <w:rPr>
          <w:rFonts w:ascii="Calibri" w:hAnsi="Calibri" w:cs="Calibri"/>
          <w:sz w:val="28"/>
          <w:szCs w:val="28"/>
        </w:rPr>
        <w:t></w:t>
      </w:r>
    </w:p>
    <w:p w:rsidR="00AC0530" w:rsidRPr="00496D64" w:rsidRDefault="00AC0530" w:rsidP="00AC0530">
      <w:pPr>
        <w:pStyle w:val="ListParagraph"/>
        <w:numPr>
          <w:ilvl w:val="0"/>
          <w:numId w:val="1"/>
        </w:numPr>
        <w:rPr>
          <w:b/>
          <w:bCs/>
          <w:color w:val="FF0000"/>
          <w:sz w:val="28"/>
          <w:szCs w:val="28"/>
        </w:rPr>
      </w:pPr>
      <w:r w:rsidRPr="00AC0530">
        <w:rPr>
          <w:sz w:val="28"/>
          <w:szCs w:val="28"/>
        </w:rPr>
        <w:t xml:space="preserve"> Total number of hours for a job role as prescribed by the SSC</w:t>
      </w:r>
    </w:p>
    <w:p w:rsidR="00496D64" w:rsidRPr="00496D64" w:rsidRDefault="00496D64" w:rsidP="00496D64">
      <w:pPr>
        <w:jc w:val="center"/>
        <w:rPr>
          <w:b/>
          <w:bCs/>
          <w:color w:val="FF0000"/>
          <w:sz w:val="32"/>
          <w:szCs w:val="32"/>
        </w:rPr>
      </w:pPr>
    </w:p>
    <w:p w:rsidR="00496D64" w:rsidRPr="00496D64" w:rsidRDefault="00496D64" w:rsidP="00496D64">
      <w:pPr>
        <w:jc w:val="center"/>
        <w:rPr>
          <w:b/>
          <w:bCs/>
          <w:color w:val="FF0000"/>
          <w:sz w:val="32"/>
          <w:szCs w:val="32"/>
        </w:rPr>
      </w:pPr>
      <w:r w:rsidRPr="00496D64">
        <w:rPr>
          <w:b/>
          <w:bCs/>
          <w:color w:val="FF0000"/>
          <w:sz w:val="32"/>
          <w:szCs w:val="32"/>
        </w:rPr>
        <w:t>Case Scenarios in First Quarter</w:t>
      </w:r>
    </w:p>
    <w:p w:rsidR="00AC0530" w:rsidRDefault="00AC0530" w:rsidP="00496D64">
      <w:pPr>
        <w:jc w:val="center"/>
        <w:rPr>
          <w:b/>
          <w:bCs/>
          <w:color w:val="FF0000"/>
          <w:sz w:val="28"/>
          <w:szCs w:val="28"/>
        </w:rPr>
      </w:pPr>
      <w:r>
        <w:rPr>
          <w:b/>
          <w:bCs/>
          <w:noProof/>
          <w:color w:val="FF0000"/>
          <w:sz w:val="28"/>
          <w:szCs w:val="28"/>
          <w:lang w:bidi="hi-IN"/>
        </w:rPr>
        <w:drawing>
          <wp:inline distT="0" distB="0" distL="0" distR="0">
            <wp:extent cx="6591300" cy="5170290"/>
            <wp:effectExtent l="19050" t="0" r="0" b="0"/>
            <wp:docPr id="2" name="Picture 1"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6"/>
                    <a:stretch>
                      <a:fillRect/>
                    </a:stretch>
                  </pic:blipFill>
                  <pic:spPr>
                    <a:xfrm>
                      <a:off x="0" y="0"/>
                      <a:ext cx="6607922" cy="5183329"/>
                    </a:xfrm>
                    <a:prstGeom prst="rect">
                      <a:avLst/>
                    </a:prstGeom>
                  </pic:spPr>
                </pic:pic>
              </a:graphicData>
            </a:graphic>
          </wp:inline>
        </w:drawing>
      </w:r>
    </w:p>
    <w:p w:rsidR="00496D64" w:rsidRDefault="00496D64" w:rsidP="00496D64">
      <w:pPr>
        <w:rPr>
          <w:b/>
          <w:bCs/>
          <w:color w:val="FF0000"/>
          <w:sz w:val="32"/>
          <w:szCs w:val="32"/>
        </w:rPr>
      </w:pPr>
      <w:r w:rsidRPr="00496D64">
        <w:rPr>
          <w:b/>
          <w:bCs/>
          <w:color w:val="FF0000"/>
          <w:sz w:val="32"/>
          <w:szCs w:val="32"/>
        </w:rPr>
        <w:t>Pass Percentage for a QP basis NSQF levels</w:t>
      </w:r>
    </w:p>
    <w:tbl>
      <w:tblPr>
        <w:tblStyle w:val="TableGrid"/>
        <w:tblW w:w="0" w:type="auto"/>
        <w:tblLook w:val="04A0"/>
      </w:tblPr>
      <w:tblGrid>
        <w:gridCol w:w="5436"/>
        <w:gridCol w:w="5580"/>
      </w:tblGrid>
      <w:tr w:rsidR="00496D64" w:rsidTr="00496D64">
        <w:trPr>
          <w:trHeight w:val="555"/>
        </w:trPr>
        <w:tc>
          <w:tcPr>
            <w:tcW w:w="6884" w:type="dxa"/>
          </w:tcPr>
          <w:p w:rsidR="00496D64" w:rsidRPr="00496D64" w:rsidRDefault="00496D64" w:rsidP="00496D64">
            <w:pPr>
              <w:rPr>
                <w:sz w:val="28"/>
                <w:szCs w:val="28"/>
              </w:rPr>
            </w:pPr>
            <w:r w:rsidRPr="00496D64">
              <w:rPr>
                <w:sz w:val="28"/>
                <w:szCs w:val="28"/>
              </w:rPr>
              <w:t xml:space="preserve">NSQF Level                       </w:t>
            </w:r>
          </w:p>
        </w:tc>
        <w:tc>
          <w:tcPr>
            <w:tcW w:w="6884" w:type="dxa"/>
          </w:tcPr>
          <w:p w:rsidR="00496D64" w:rsidRPr="00496D64" w:rsidRDefault="00496D64" w:rsidP="00496D64">
            <w:pPr>
              <w:rPr>
                <w:sz w:val="28"/>
                <w:szCs w:val="28"/>
              </w:rPr>
            </w:pPr>
            <w:r w:rsidRPr="00496D64">
              <w:rPr>
                <w:sz w:val="28"/>
                <w:szCs w:val="28"/>
              </w:rPr>
              <w:t>Percentage required for Passing a QP</w:t>
            </w:r>
          </w:p>
          <w:p w:rsidR="00496D64" w:rsidRDefault="00496D64" w:rsidP="00496D64"/>
        </w:tc>
      </w:tr>
      <w:tr w:rsidR="00496D64" w:rsidTr="00496D64">
        <w:trPr>
          <w:trHeight w:val="278"/>
        </w:trPr>
        <w:tc>
          <w:tcPr>
            <w:tcW w:w="6884" w:type="dxa"/>
          </w:tcPr>
          <w:p w:rsidR="00496D64" w:rsidRPr="00496D64" w:rsidRDefault="00496D64" w:rsidP="00496D64">
            <w:pPr>
              <w:rPr>
                <w:sz w:val="28"/>
                <w:szCs w:val="28"/>
              </w:rPr>
            </w:pPr>
            <w:r w:rsidRPr="00496D64">
              <w:rPr>
                <w:sz w:val="28"/>
                <w:szCs w:val="28"/>
              </w:rPr>
              <w:t xml:space="preserve">1,2,3                                       </w:t>
            </w:r>
          </w:p>
        </w:tc>
        <w:tc>
          <w:tcPr>
            <w:tcW w:w="6884" w:type="dxa"/>
          </w:tcPr>
          <w:p w:rsidR="00496D64" w:rsidRPr="00496D64" w:rsidRDefault="00496D64" w:rsidP="00496D64">
            <w:pPr>
              <w:rPr>
                <w:sz w:val="28"/>
                <w:szCs w:val="28"/>
              </w:rPr>
            </w:pPr>
            <w:r w:rsidRPr="00496D64">
              <w:rPr>
                <w:sz w:val="28"/>
                <w:szCs w:val="28"/>
              </w:rPr>
              <w:t>50 %</w:t>
            </w:r>
          </w:p>
        </w:tc>
      </w:tr>
      <w:tr w:rsidR="00496D64" w:rsidTr="00496D64">
        <w:trPr>
          <w:trHeight w:val="555"/>
        </w:trPr>
        <w:tc>
          <w:tcPr>
            <w:tcW w:w="6884" w:type="dxa"/>
          </w:tcPr>
          <w:p w:rsidR="00496D64" w:rsidRPr="007D4CBA" w:rsidRDefault="00496D64" w:rsidP="00496D64">
            <w:pPr>
              <w:rPr>
                <w:sz w:val="28"/>
                <w:szCs w:val="28"/>
              </w:rPr>
            </w:pPr>
            <w:r w:rsidRPr="007D4CBA">
              <w:rPr>
                <w:sz w:val="28"/>
                <w:szCs w:val="28"/>
              </w:rPr>
              <w:t xml:space="preserve">4 &amp; above                             </w:t>
            </w:r>
          </w:p>
        </w:tc>
        <w:tc>
          <w:tcPr>
            <w:tcW w:w="6884" w:type="dxa"/>
          </w:tcPr>
          <w:p w:rsidR="00496D64" w:rsidRPr="007D4CBA" w:rsidRDefault="00496D64" w:rsidP="00496D64">
            <w:pPr>
              <w:rPr>
                <w:b/>
                <w:bCs/>
                <w:color w:val="FF0000"/>
                <w:sz w:val="28"/>
                <w:szCs w:val="28"/>
              </w:rPr>
            </w:pPr>
            <w:r w:rsidRPr="007D4CBA">
              <w:rPr>
                <w:sz w:val="28"/>
                <w:szCs w:val="28"/>
              </w:rPr>
              <w:t>70 %</w:t>
            </w:r>
          </w:p>
          <w:p w:rsidR="00496D64" w:rsidRPr="007D4CBA" w:rsidRDefault="00496D64" w:rsidP="00496D64">
            <w:pPr>
              <w:rPr>
                <w:sz w:val="28"/>
                <w:szCs w:val="28"/>
              </w:rPr>
            </w:pPr>
          </w:p>
        </w:tc>
      </w:tr>
    </w:tbl>
    <w:p w:rsidR="00AC0530" w:rsidRPr="00B35BC1" w:rsidRDefault="00AC0530" w:rsidP="00AC0530">
      <w:pPr>
        <w:rPr>
          <w:b/>
          <w:bCs/>
          <w:color w:val="FF0000"/>
          <w:sz w:val="28"/>
          <w:szCs w:val="28"/>
        </w:rPr>
      </w:pPr>
    </w:p>
    <w:p w:rsidR="00B35BC1" w:rsidRDefault="00B35BC1" w:rsidP="00AC0530">
      <w:pPr>
        <w:rPr>
          <w:b/>
          <w:bCs/>
          <w:color w:val="FF0000"/>
          <w:sz w:val="40"/>
          <w:szCs w:val="40"/>
        </w:rPr>
      </w:pPr>
      <w:r w:rsidRPr="00B35BC1">
        <w:rPr>
          <w:b/>
          <w:bCs/>
          <w:color w:val="FF0000"/>
          <w:sz w:val="40"/>
          <w:szCs w:val="40"/>
        </w:rPr>
        <w:t>Fees to be Paid by the Training Centre</w:t>
      </w:r>
    </w:p>
    <w:p w:rsidR="00B35BC1" w:rsidRPr="00B35BC1" w:rsidRDefault="00B35BC1" w:rsidP="00AC0530">
      <w:pPr>
        <w:rPr>
          <w:sz w:val="28"/>
          <w:szCs w:val="28"/>
        </w:rPr>
      </w:pPr>
      <w:r w:rsidRPr="00B35BC1">
        <w:rPr>
          <w:sz w:val="28"/>
          <w:szCs w:val="28"/>
        </w:rPr>
        <w:t>Application Registration Fee</w:t>
      </w:r>
    </w:p>
    <w:p w:rsidR="00B35BC1" w:rsidRPr="00B35BC1" w:rsidRDefault="00B35BC1" w:rsidP="00AC0530">
      <w:pPr>
        <w:rPr>
          <w:sz w:val="28"/>
          <w:szCs w:val="28"/>
        </w:rPr>
      </w:pPr>
      <w:r w:rsidRPr="00B35BC1">
        <w:rPr>
          <w:sz w:val="28"/>
          <w:szCs w:val="28"/>
        </w:rPr>
        <w:t xml:space="preserve"> A one-time Application Registration Fee of INR 10,000 shall be charged from the parent organization. This fee shall be non-refundable.</w:t>
      </w:r>
    </w:p>
    <w:p w:rsidR="00B35BC1" w:rsidRDefault="00B35BC1" w:rsidP="00AC0530">
      <w:pPr>
        <w:rPr>
          <w:sz w:val="28"/>
          <w:szCs w:val="28"/>
        </w:rPr>
      </w:pPr>
      <w:r w:rsidRPr="00B35BC1">
        <w:rPr>
          <w:sz w:val="28"/>
          <w:szCs w:val="28"/>
        </w:rPr>
        <w:t xml:space="preserve">  Accreditation Fee</w:t>
      </w:r>
      <w:r>
        <w:rPr>
          <w:sz w:val="28"/>
          <w:szCs w:val="28"/>
        </w:rPr>
        <w:t xml:space="preserve"> </w:t>
      </w:r>
    </w:p>
    <w:p w:rsidR="00B35BC1" w:rsidRPr="00B35BC1" w:rsidRDefault="00B35BC1" w:rsidP="00AC0530">
      <w:pPr>
        <w:rPr>
          <w:sz w:val="28"/>
          <w:szCs w:val="28"/>
        </w:rPr>
      </w:pPr>
      <w:r w:rsidRPr="00B35BC1">
        <w:rPr>
          <w:b/>
          <w:bCs/>
          <w:color w:val="FF0000"/>
          <w:sz w:val="28"/>
          <w:szCs w:val="28"/>
        </w:rPr>
        <w:t xml:space="preserve"> a.</w:t>
      </w:r>
      <w:r w:rsidRPr="00B35BC1">
        <w:rPr>
          <w:sz w:val="28"/>
          <w:szCs w:val="28"/>
        </w:rPr>
        <w:t xml:space="preserve"> Any TC applying for accreditation has to pay an Accreditation Fee in order to complete the Self</w:t>
      </w:r>
      <w:r w:rsidR="00E3777B">
        <w:rPr>
          <w:sz w:val="28"/>
          <w:szCs w:val="28"/>
        </w:rPr>
        <w:t xml:space="preserve"> </w:t>
      </w:r>
      <w:r w:rsidRPr="00B35BC1">
        <w:rPr>
          <w:sz w:val="28"/>
          <w:szCs w:val="28"/>
        </w:rPr>
        <w:t>Assessment request. Provision of a payment gateway for facilitating online fee payment shall be provided, details of which shall be provided at the NSDC website (</w:t>
      </w:r>
      <w:hyperlink r:id="rId7" w:history="1">
        <w:r w:rsidRPr="00B35BC1">
          <w:rPr>
            <w:rStyle w:val="Hyperlink"/>
            <w:sz w:val="28"/>
            <w:szCs w:val="28"/>
          </w:rPr>
          <w:t>www.nsdcindia.org</w:t>
        </w:r>
      </w:hyperlink>
      <w:r w:rsidRPr="00B35BC1">
        <w:rPr>
          <w:sz w:val="28"/>
          <w:szCs w:val="28"/>
        </w:rPr>
        <w:t>).</w:t>
      </w:r>
    </w:p>
    <w:p w:rsidR="00B35BC1" w:rsidRPr="00B35BC1" w:rsidRDefault="00B35BC1" w:rsidP="00AC0530">
      <w:pPr>
        <w:rPr>
          <w:sz w:val="28"/>
          <w:szCs w:val="28"/>
        </w:rPr>
      </w:pPr>
      <w:r w:rsidRPr="00B35BC1">
        <w:rPr>
          <w:b/>
          <w:bCs/>
          <w:color w:val="FF0000"/>
          <w:sz w:val="28"/>
          <w:szCs w:val="28"/>
        </w:rPr>
        <w:t xml:space="preserve"> b.</w:t>
      </w:r>
      <w:r w:rsidRPr="00B35BC1">
        <w:rPr>
          <w:sz w:val="28"/>
          <w:szCs w:val="28"/>
        </w:rPr>
        <w:t xml:space="preserve"> It is to be noted that the TC has to pay the Accreditation Fee for each job role. The total fee shall be an annual cost. The fee shall be non-refundable.</w:t>
      </w:r>
    </w:p>
    <w:p w:rsidR="00B35BC1" w:rsidRDefault="00B35BC1" w:rsidP="00AC0530">
      <w:pPr>
        <w:rPr>
          <w:sz w:val="28"/>
          <w:szCs w:val="28"/>
        </w:rPr>
      </w:pPr>
      <w:r w:rsidRPr="00B35BC1">
        <w:rPr>
          <w:b/>
          <w:bCs/>
          <w:color w:val="FF0000"/>
          <w:sz w:val="28"/>
          <w:szCs w:val="28"/>
        </w:rPr>
        <w:t xml:space="preserve"> c.</w:t>
      </w:r>
      <w:r w:rsidRPr="00B35BC1">
        <w:rPr>
          <w:sz w:val="28"/>
          <w:szCs w:val="28"/>
        </w:rPr>
        <w:t xml:space="preserve"> The following structure of Accreditation Fee is applicable to all the TCs that apply for accreditation: </w:t>
      </w:r>
      <w:proofErr w:type="spellStart"/>
      <w:r w:rsidRPr="00B35BC1">
        <w:rPr>
          <w:sz w:val="28"/>
          <w:szCs w:val="28"/>
        </w:rPr>
        <w:t>i</w:t>
      </w:r>
      <w:proofErr w:type="spellEnd"/>
      <w:r w:rsidRPr="00B35BC1">
        <w:rPr>
          <w:sz w:val="28"/>
          <w:szCs w:val="28"/>
        </w:rPr>
        <w:t xml:space="preserve">. A Base Cost of INR 20,000. This amount includes the following </w:t>
      </w:r>
      <w:r w:rsidR="00E3777B" w:rsidRPr="00B35BC1">
        <w:rPr>
          <w:sz w:val="28"/>
          <w:szCs w:val="28"/>
        </w:rPr>
        <w:t>components:</w:t>
      </w:r>
    </w:p>
    <w:p w:rsidR="00B35BC1" w:rsidRDefault="00B35BC1" w:rsidP="00B35BC1">
      <w:pPr>
        <w:jc w:val="center"/>
        <w:rPr>
          <w:b/>
          <w:bCs/>
          <w:sz w:val="32"/>
          <w:szCs w:val="32"/>
        </w:rPr>
      </w:pPr>
      <w:r w:rsidRPr="00B35BC1">
        <w:rPr>
          <w:b/>
          <w:bCs/>
          <w:sz w:val="32"/>
          <w:szCs w:val="32"/>
        </w:rPr>
        <w:t xml:space="preserve">A Base Cost of INR 20,000. This amount includes the following </w:t>
      </w:r>
      <w:r w:rsidR="00E3777B" w:rsidRPr="00B35BC1">
        <w:rPr>
          <w:b/>
          <w:bCs/>
          <w:sz w:val="32"/>
          <w:szCs w:val="32"/>
        </w:rPr>
        <w:t>components:</w:t>
      </w:r>
    </w:p>
    <w:tbl>
      <w:tblPr>
        <w:tblStyle w:val="TableGrid"/>
        <w:tblW w:w="0" w:type="auto"/>
        <w:tblLook w:val="04A0"/>
      </w:tblPr>
      <w:tblGrid>
        <w:gridCol w:w="943"/>
        <w:gridCol w:w="4471"/>
        <w:gridCol w:w="2028"/>
        <w:gridCol w:w="3574"/>
      </w:tblGrid>
      <w:tr w:rsidR="008612CE" w:rsidTr="001203B9">
        <w:trPr>
          <w:trHeight w:val="767"/>
        </w:trPr>
        <w:tc>
          <w:tcPr>
            <w:tcW w:w="1252" w:type="dxa"/>
          </w:tcPr>
          <w:p w:rsidR="00E3777B" w:rsidRPr="001203B9" w:rsidRDefault="00E3777B" w:rsidP="00E3777B">
            <w:pPr>
              <w:rPr>
                <w:b/>
                <w:bCs/>
                <w:color w:val="FF0000"/>
                <w:sz w:val="32"/>
                <w:szCs w:val="32"/>
              </w:rPr>
            </w:pPr>
            <w:r w:rsidRPr="001203B9">
              <w:rPr>
                <w:b/>
                <w:bCs/>
                <w:color w:val="FF0000"/>
                <w:sz w:val="32"/>
                <w:szCs w:val="32"/>
              </w:rPr>
              <w:t>S. No</w:t>
            </w:r>
          </w:p>
        </w:tc>
        <w:tc>
          <w:tcPr>
            <w:tcW w:w="6732" w:type="dxa"/>
          </w:tcPr>
          <w:p w:rsidR="00E3777B" w:rsidRPr="001203B9" w:rsidRDefault="00E3777B" w:rsidP="00E3777B">
            <w:pPr>
              <w:jc w:val="center"/>
              <w:rPr>
                <w:b/>
                <w:bCs/>
                <w:color w:val="FF0000"/>
                <w:sz w:val="32"/>
                <w:szCs w:val="32"/>
              </w:rPr>
            </w:pPr>
            <w:r w:rsidRPr="001203B9">
              <w:rPr>
                <w:b/>
                <w:bCs/>
                <w:color w:val="FF0000"/>
                <w:sz w:val="32"/>
                <w:szCs w:val="32"/>
              </w:rPr>
              <w:t>Fee description</w:t>
            </w:r>
          </w:p>
        </w:tc>
        <w:tc>
          <w:tcPr>
            <w:tcW w:w="2597" w:type="dxa"/>
          </w:tcPr>
          <w:p w:rsidR="00E3777B" w:rsidRPr="001203B9" w:rsidRDefault="00E3777B" w:rsidP="00E3777B">
            <w:pPr>
              <w:rPr>
                <w:b/>
                <w:bCs/>
                <w:color w:val="FF0000"/>
                <w:sz w:val="32"/>
                <w:szCs w:val="32"/>
              </w:rPr>
            </w:pPr>
            <w:r w:rsidRPr="001203B9">
              <w:rPr>
                <w:b/>
                <w:bCs/>
                <w:color w:val="FF0000"/>
                <w:sz w:val="32"/>
                <w:szCs w:val="32"/>
              </w:rPr>
              <w:t>Fees (Amount Remarks in INR)</w:t>
            </w:r>
          </w:p>
        </w:tc>
        <w:tc>
          <w:tcPr>
            <w:tcW w:w="5387" w:type="dxa"/>
          </w:tcPr>
          <w:p w:rsidR="00E3777B" w:rsidRPr="001203B9" w:rsidRDefault="00E3777B" w:rsidP="00E3777B">
            <w:pPr>
              <w:jc w:val="center"/>
              <w:rPr>
                <w:b/>
                <w:bCs/>
                <w:color w:val="FF0000"/>
                <w:sz w:val="32"/>
                <w:szCs w:val="32"/>
              </w:rPr>
            </w:pPr>
            <w:r w:rsidRPr="001203B9">
              <w:rPr>
                <w:b/>
                <w:bCs/>
                <w:color w:val="FF0000"/>
                <w:sz w:val="32"/>
                <w:szCs w:val="32"/>
              </w:rPr>
              <w:t>Remarks</w:t>
            </w:r>
          </w:p>
        </w:tc>
      </w:tr>
      <w:tr w:rsidR="008612CE" w:rsidTr="001203B9">
        <w:trPr>
          <w:trHeight w:val="767"/>
        </w:trPr>
        <w:tc>
          <w:tcPr>
            <w:tcW w:w="1252" w:type="dxa"/>
          </w:tcPr>
          <w:p w:rsidR="00E3777B" w:rsidRDefault="00E3777B" w:rsidP="00E3777B">
            <w:pPr>
              <w:rPr>
                <w:b/>
                <w:bCs/>
                <w:color w:val="FF0000"/>
                <w:sz w:val="32"/>
                <w:szCs w:val="32"/>
              </w:rPr>
            </w:pPr>
            <w:r>
              <w:rPr>
                <w:b/>
                <w:bCs/>
                <w:color w:val="FF0000"/>
                <w:sz w:val="32"/>
                <w:szCs w:val="32"/>
              </w:rPr>
              <w:t>1</w:t>
            </w:r>
          </w:p>
        </w:tc>
        <w:tc>
          <w:tcPr>
            <w:tcW w:w="6732" w:type="dxa"/>
          </w:tcPr>
          <w:p w:rsidR="00E3777B" w:rsidRPr="00E3777B" w:rsidRDefault="00E3777B" w:rsidP="00E3777B">
            <w:pPr>
              <w:rPr>
                <w:b/>
                <w:bCs/>
                <w:color w:val="FF0000"/>
                <w:sz w:val="32"/>
                <w:szCs w:val="32"/>
              </w:rPr>
            </w:pPr>
            <w:r w:rsidRPr="00E3777B">
              <w:rPr>
                <w:sz w:val="32"/>
                <w:szCs w:val="32"/>
              </w:rPr>
              <w:t xml:space="preserve">Annual Accreditation </w:t>
            </w:r>
          </w:p>
        </w:tc>
        <w:tc>
          <w:tcPr>
            <w:tcW w:w="2597" w:type="dxa"/>
          </w:tcPr>
          <w:p w:rsidR="00E3777B" w:rsidRPr="00E3777B" w:rsidRDefault="00E3777B" w:rsidP="00E3777B">
            <w:pPr>
              <w:rPr>
                <w:b/>
                <w:bCs/>
                <w:color w:val="FF0000"/>
                <w:sz w:val="32"/>
                <w:szCs w:val="32"/>
              </w:rPr>
            </w:pPr>
            <w:r w:rsidRPr="00E3777B">
              <w:rPr>
                <w:sz w:val="32"/>
                <w:szCs w:val="32"/>
              </w:rPr>
              <w:t>12,000</w:t>
            </w:r>
          </w:p>
        </w:tc>
        <w:tc>
          <w:tcPr>
            <w:tcW w:w="5387" w:type="dxa"/>
          </w:tcPr>
          <w:p w:rsidR="00E3777B" w:rsidRPr="008612CE" w:rsidRDefault="00E3777B" w:rsidP="00E3777B">
            <w:pPr>
              <w:rPr>
                <w:b/>
                <w:bCs/>
                <w:color w:val="FF0000"/>
                <w:sz w:val="32"/>
                <w:szCs w:val="32"/>
              </w:rPr>
            </w:pPr>
            <w:r w:rsidRPr="008612CE">
              <w:rPr>
                <w:sz w:val="32"/>
                <w:szCs w:val="32"/>
              </w:rPr>
              <w:t>Cost pertaining to the on-site inspection of the TC</w:t>
            </w:r>
          </w:p>
        </w:tc>
      </w:tr>
      <w:tr w:rsidR="008612CE" w:rsidTr="001203B9">
        <w:trPr>
          <w:trHeight w:val="767"/>
        </w:trPr>
        <w:tc>
          <w:tcPr>
            <w:tcW w:w="1252" w:type="dxa"/>
          </w:tcPr>
          <w:p w:rsidR="00E3777B" w:rsidRDefault="00E3777B" w:rsidP="00E3777B">
            <w:pPr>
              <w:rPr>
                <w:b/>
                <w:bCs/>
                <w:color w:val="FF0000"/>
                <w:sz w:val="32"/>
                <w:szCs w:val="32"/>
              </w:rPr>
            </w:pPr>
            <w:r>
              <w:rPr>
                <w:b/>
                <w:bCs/>
                <w:color w:val="FF0000"/>
                <w:sz w:val="32"/>
                <w:szCs w:val="32"/>
              </w:rPr>
              <w:t>2</w:t>
            </w:r>
          </w:p>
        </w:tc>
        <w:tc>
          <w:tcPr>
            <w:tcW w:w="6732" w:type="dxa"/>
          </w:tcPr>
          <w:p w:rsidR="00E3777B" w:rsidRPr="00E3777B" w:rsidRDefault="00E3777B" w:rsidP="00E3777B">
            <w:pPr>
              <w:rPr>
                <w:b/>
                <w:bCs/>
                <w:color w:val="FF0000"/>
                <w:sz w:val="32"/>
                <w:szCs w:val="32"/>
              </w:rPr>
            </w:pPr>
            <w:r w:rsidRPr="00E3777B">
              <w:rPr>
                <w:sz w:val="32"/>
                <w:szCs w:val="32"/>
              </w:rPr>
              <w:t>Annual Continuous Monitoring Fee</w:t>
            </w:r>
          </w:p>
        </w:tc>
        <w:tc>
          <w:tcPr>
            <w:tcW w:w="2597" w:type="dxa"/>
          </w:tcPr>
          <w:p w:rsidR="00E3777B" w:rsidRPr="00E3777B" w:rsidRDefault="00E3777B" w:rsidP="00E3777B">
            <w:pPr>
              <w:rPr>
                <w:b/>
                <w:bCs/>
                <w:color w:val="FF0000"/>
                <w:sz w:val="32"/>
                <w:szCs w:val="32"/>
              </w:rPr>
            </w:pPr>
            <w:r w:rsidRPr="00E3777B">
              <w:rPr>
                <w:sz w:val="32"/>
                <w:szCs w:val="32"/>
              </w:rPr>
              <w:t>8000</w:t>
            </w:r>
          </w:p>
        </w:tc>
        <w:tc>
          <w:tcPr>
            <w:tcW w:w="5387" w:type="dxa"/>
          </w:tcPr>
          <w:p w:rsidR="00E3777B" w:rsidRDefault="00E3777B" w:rsidP="008612CE">
            <w:pPr>
              <w:rPr>
                <w:b/>
                <w:bCs/>
                <w:color w:val="FF0000"/>
                <w:sz w:val="32"/>
                <w:szCs w:val="32"/>
              </w:rPr>
            </w:pPr>
            <w:r>
              <w:t>Cost pertaining to Annual Continuous Monitoring that includes surprise visits (if any) and monitoring through various other means, such as Call Validation, Management Information System (MIS) data, and analysis of online reports submitted by the TC.</w:t>
            </w:r>
          </w:p>
        </w:tc>
      </w:tr>
    </w:tbl>
    <w:p w:rsidR="00E3777B" w:rsidRPr="00B35BC1" w:rsidRDefault="008612CE" w:rsidP="00E3777B">
      <w:pPr>
        <w:rPr>
          <w:b/>
          <w:bCs/>
          <w:color w:val="FF0000"/>
          <w:sz w:val="32"/>
          <w:szCs w:val="32"/>
        </w:rPr>
      </w:pPr>
      <w:r w:rsidRPr="008612CE">
        <w:rPr>
          <w:color w:val="FF0000"/>
          <w:sz w:val="40"/>
          <w:szCs w:val="40"/>
        </w:rPr>
        <w:t xml:space="preserve"># </w:t>
      </w:r>
      <w:r w:rsidRPr="008612CE">
        <w:rPr>
          <w:b/>
          <w:bCs/>
          <w:sz w:val="32"/>
          <w:szCs w:val="32"/>
        </w:rPr>
        <w:t>Incremental Cost of INR 1000 for each job role, over and above the Base Cost</w:t>
      </w:r>
      <w:r>
        <w:t>.</w:t>
      </w:r>
    </w:p>
    <w:p w:rsidR="00B35BC1" w:rsidRPr="00B35BC1" w:rsidRDefault="00B35BC1" w:rsidP="00AC0530">
      <w:pPr>
        <w:rPr>
          <w:b/>
          <w:bCs/>
          <w:color w:val="FF0000"/>
          <w:sz w:val="40"/>
          <w:szCs w:val="40"/>
        </w:rPr>
      </w:pPr>
    </w:p>
    <w:sectPr w:rsidR="00B35BC1" w:rsidRPr="00B35BC1" w:rsidSect="006136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67F53"/>
    <w:multiLevelType w:val="hybridMultilevel"/>
    <w:tmpl w:val="E3F0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CB4B4D"/>
    <w:rsid w:val="00093725"/>
    <w:rsid w:val="001203B9"/>
    <w:rsid w:val="00126B16"/>
    <w:rsid w:val="001F75A1"/>
    <w:rsid w:val="00292214"/>
    <w:rsid w:val="002B5ABB"/>
    <w:rsid w:val="00496D64"/>
    <w:rsid w:val="005B1B3F"/>
    <w:rsid w:val="006136B3"/>
    <w:rsid w:val="00742F28"/>
    <w:rsid w:val="00753AE9"/>
    <w:rsid w:val="0079096A"/>
    <w:rsid w:val="007D4CBA"/>
    <w:rsid w:val="008612CE"/>
    <w:rsid w:val="00897D2A"/>
    <w:rsid w:val="008B0B89"/>
    <w:rsid w:val="00961F95"/>
    <w:rsid w:val="00AC0530"/>
    <w:rsid w:val="00B35BC1"/>
    <w:rsid w:val="00C54D13"/>
    <w:rsid w:val="00CB4B4D"/>
    <w:rsid w:val="00E152BA"/>
    <w:rsid w:val="00E377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4D"/>
    <w:rPr>
      <w:rFonts w:ascii="Tahoma" w:hAnsi="Tahoma" w:cs="Tahoma"/>
      <w:sz w:val="16"/>
      <w:szCs w:val="16"/>
    </w:rPr>
  </w:style>
  <w:style w:type="table" w:styleId="TableGrid">
    <w:name w:val="Table Grid"/>
    <w:basedOn w:val="TableNormal"/>
    <w:uiPriority w:val="59"/>
    <w:rsid w:val="00790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152BA"/>
    <w:pPr>
      <w:spacing w:after="0" w:line="240" w:lineRule="auto"/>
    </w:pPr>
  </w:style>
  <w:style w:type="paragraph" w:styleId="ListParagraph">
    <w:name w:val="List Paragraph"/>
    <w:basedOn w:val="Normal"/>
    <w:uiPriority w:val="34"/>
    <w:qFormat/>
    <w:rsid w:val="00AC0530"/>
    <w:pPr>
      <w:ind w:left="720"/>
      <w:contextualSpacing/>
    </w:pPr>
  </w:style>
  <w:style w:type="character" w:styleId="Hyperlink">
    <w:name w:val="Hyperlink"/>
    <w:basedOn w:val="DefaultParagraphFont"/>
    <w:uiPriority w:val="99"/>
    <w:unhideWhenUsed/>
    <w:rsid w:val="00B35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dc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10</cp:revision>
  <dcterms:created xsi:type="dcterms:W3CDTF">2016-07-24T13:16:00Z</dcterms:created>
  <dcterms:modified xsi:type="dcterms:W3CDTF">2016-07-24T15:57:00Z</dcterms:modified>
</cp:coreProperties>
</file>